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5B6" w:rsidRPr="00B97C6E" w:rsidRDefault="00AB6D2D">
      <w:pPr>
        <w:spacing w:after="180"/>
        <w:rPr>
          <w:rFonts w:ascii="標楷體" w:eastAsia="標楷體" w:hAnsi="標楷體"/>
          <w:b/>
          <w:sz w:val="28"/>
          <w:szCs w:val="24"/>
        </w:rPr>
      </w:pPr>
      <w:r w:rsidRPr="00B97C6E">
        <w:rPr>
          <w:rFonts w:ascii="標楷體" w:eastAsia="標楷體" w:hAnsi="標楷體" w:hint="eastAsia"/>
          <w:b/>
          <w:sz w:val="28"/>
          <w:szCs w:val="24"/>
        </w:rPr>
        <w:t>金融教育主題學習素材－違約交割責任</w:t>
      </w:r>
    </w:p>
    <w:p w:rsidR="00AB6D2D" w:rsidRPr="00B97C6E" w:rsidRDefault="00AB6D2D" w:rsidP="00AB6D2D">
      <w:pPr>
        <w:spacing w:after="180"/>
        <w:rPr>
          <w:rFonts w:ascii="標楷體" w:eastAsia="標楷體" w:hAnsi="標楷體"/>
          <w:b/>
        </w:rPr>
      </w:pPr>
      <w:r w:rsidRPr="00B97C6E">
        <w:rPr>
          <w:rFonts w:ascii="標楷體" w:eastAsia="標楷體" w:hAnsi="標楷體" w:hint="eastAsia"/>
          <w:b/>
        </w:rPr>
        <w:t>為什麼會發生「違約交割」?</w:t>
      </w:r>
      <w:r w:rsidRPr="00B97C6E">
        <w:rPr>
          <w:rFonts w:ascii="標楷體" w:eastAsia="標楷體" w:hAnsi="標楷體" w:cs="AppleSystemUIFont"/>
          <w:noProof/>
          <w:sz w:val="26"/>
          <w:szCs w:val="26"/>
        </w:rPr>
        <w:t xml:space="preserve"> </w:t>
      </w:r>
    </w:p>
    <w:p w:rsidR="00AB6D2D" w:rsidRPr="00B97C6E" w:rsidRDefault="00AB6D2D" w:rsidP="00AB6D2D">
      <w:pPr>
        <w:spacing w:after="180"/>
        <w:rPr>
          <w:rFonts w:ascii="標楷體" w:eastAsia="標楷體" w:hAnsi="標楷體"/>
        </w:rPr>
      </w:pPr>
      <w:r w:rsidRPr="00B97C6E">
        <w:rPr>
          <w:rFonts w:ascii="標楷體" w:eastAsia="標楷體" w:hAnsi="標楷體"/>
        </w:rPr>
        <w:t>違約交割是指投資人未如期履行交割義務。簡單來說，投資人在證券市場委託買賣成交後，務必要留意在成交日（T日）起算的次二</w:t>
      </w:r>
      <w:proofErr w:type="gramStart"/>
      <w:r w:rsidRPr="00B97C6E">
        <w:rPr>
          <w:rFonts w:ascii="標楷體" w:eastAsia="標楷體" w:hAnsi="標楷體"/>
        </w:rPr>
        <w:t>個</w:t>
      </w:r>
      <w:proofErr w:type="gramEnd"/>
      <w:r w:rsidRPr="00B97C6E">
        <w:rPr>
          <w:rFonts w:ascii="標楷體" w:eastAsia="標楷體" w:hAnsi="標楷體"/>
        </w:rPr>
        <w:t>營業日（T+2日）上午10點前，在交割帳戶準備足夠支付買賣有價證券的價款，以完成交割。如果在T+2上午10點前投資人交割帳戶內的餘額不足，銀行扣不到投資人應該要繳交的交割價款，就會發生「違約交割」。</w:t>
      </w:r>
    </w:p>
    <w:p w:rsidR="00AB6D2D" w:rsidRPr="00B97C6E" w:rsidRDefault="00AB6D2D" w:rsidP="00AB6D2D">
      <w:pPr>
        <w:spacing w:after="180"/>
        <w:rPr>
          <w:rFonts w:ascii="標楷體" w:eastAsia="標楷體" w:hAnsi="標楷體"/>
        </w:rPr>
      </w:pPr>
      <w:r w:rsidRPr="00B97C6E">
        <w:rPr>
          <w:rFonts w:ascii="標楷體" w:eastAsia="標楷體" w:hAnsi="標楷體"/>
        </w:rPr>
        <w:t>投資人若違約交割，不僅可能要負擔法律上的責任，也會對個人信用產生負面影響。投資人應審慎評估投資狀況，並隨時留意交易紀錄，同時也要注意交割帳戶</w:t>
      </w:r>
      <w:r w:rsidRPr="00B97C6E">
        <w:rPr>
          <w:rFonts w:ascii="標楷體" w:eastAsia="標楷體" w:hAnsi="標楷體" w:hint="eastAsia"/>
        </w:rPr>
        <w:t>餘額是否充足，避免無法履行交割義務，以維護自身投資權益。</w:t>
      </w:r>
    </w:p>
    <w:p w:rsidR="00AB6D2D" w:rsidRPr="00B97C6E" w:rsidRDefault="00AB6D2D" w:rsidP="00AB6D2D">
      <w:pPr>
        <w:spacing w:after="180"/>
        <w:rPr>
          <w:rFonts w:ascii="標楷體" w:eastAsia="標楷體" w:hAnsi="標楷體"/>
          <w:b/>
        </w:rPr>
      </w:pPr>
      <w:r w:rsidRPr="00B97C6E">
        <w:rPr>
          <w:rFonts w:ascii="標楷體" w:eastAsia="標楷體" w:hAnsi="標楷體" w:hint="eastAsia"/>
          <w:b/>
        </w:rPr>
        <w:t>違約交割之責任</w:t>
      </w:r>
    </w:p>
    <w:p w:rsidR="00AB6D2D" w:rsidRPr="00B97C6E" w:rsidRDefault="00AB6D2D" w:rsidP="00A41D0B">
      <w:pPr>
        <w:pStyle w:val="a3"/>
        <w:numPr>
          <w:ilvl w:val="0"/>
          <w:numId w:val="1"/>
        </w:numPr>
        <w:spacing w:after="180"/>
        <w:ind w:leftChars="0" w:left="284" w:hanging="284"/>
        <w:rPr>
          <w:rFonts w:ascii="標楷體" w:eastAsia="標楷體" w:hAnsi="標楷體"/>
        </w:rPr>
      </w:pPr>
      <w:r w:rsidRPr="00B97C6E">
        <w:rPr>
          <w:rFonts w:ascii="標楷體" w:eastAsia="標楷體" w:hAnsi="標楷體" w:cs="AppleSystemUIFont"/>
          <w:noProof/>
          <w:sz w:val="26"/>
          <w:szCs w:val="26"/>
          <w:u w:val="singl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2963776</wp:posOffset>
            </wp:positionH>
            <wp:positionV relativeFrom="paragraph">
              <wp:posOffset>332105</wp:posOffset>
            </wp:positionV>
            <wp:extent cx="3651250" cy="3657600"/>
            <wp:effectExtent l="0" t="0" r="6350" b="0"/>
            <wp:wrapTight wrapText="bothSides">
              <wp:wrapPolygon edited="0">
                <wp:start x="0" y="0"/>
                <wp:lineTo x="0" y="21488"/>
                <wp:lineTo x="21525" y="21488"/>
                <wp:lineTo x="21525" y="0"/>
                <wp:lineTo x="0" y="0"/>
              </wp:wrapPolygon>
            </wp:wrapTight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97C6E">
        <w:rPr>
          <w:rFonts w:ascii="標楷體" w:eastAsia="標楷體" w:hAnsi="標楷體" w:hint="eastAsia"/>
          <w:u w:val="single"/>
        </w:rPr>
        <w:t>民事責任：</w:t>
      </w:r>
      <w:r w:rsidRPr="00B97C6E">
        <w:rPr>
          <w:rFonts w:ascii="標楷體" w:eastAsia="標楷體" w:hAnsi="標楷體"/>
        </w:rPr>
        <w:br/>
      </w:r>
      <w:r w:rsidRPr="00B97C6E">
        <w:rPr>
          <w:rFonts w:ascii="標楷體" w:eastAsia="標楷體" w:hAnsi="標楷體" w:hint="eastAsia"/>
        </w:rPr>
        <w:t>證券商可向違約客戶收取最高成交金額7%之違約金，並</w:t>
      </w:r>
      <w:proofErr w:type="gramStart"/>
      <w:r w:rsidRPr="00B97C6E">
        <w:rPr>
          <w:rFonts w:ascii="標楷體" w:eastAsia="標楷體" w:hAnsi="標楷體" w:hint="eastAsia"/>
        </w:rPr>
        <w:t>追償因違約</w:t>
      </w:r>
      <w:proofErr w:type="gramEnd"/>
      <w:r w:rsidRPr="00B97C6E">
        <w:rPr>
          <w:rFonts w:ascii="標楷體" w:eastAsia="標楷體" w:hAnsi="標楷體" w:hint="eastAsia"/>
        </w:rPr>
        <w:t>所產生之債務及費用。</w:t>
      </w:r>
    </w:p>
    <w:p w:rsidR="00AB6D2D" w:rsidRPr="00B97C6E" w:rsidRDefault="00AB6D2D" w:rsidP="00D5707A">
      <w:pPr>
        <w:pStyle w:val="a3"/>
        <w:numPr>
          <w:ilvl w:val="0"/>
          <w:numId w:val="1"/>
        </w:numPr>
        <w:spacing w:after="180"/>
        <w:ind w:leftChars="0" w:left="284" w:hanging="284"/>
        <w:rPr>
          <w:rFonts w:ascii="標楷體" w:eastAsia="標楷體" w:hAnsi="標楷體"/>
        </w:rPr>
      </w:pPr>
      <w:r w:rsidRPr="00B97C6E">
        <w:rPr>
          <w:rFonts w:ascii="標楷體" w:eastAsia="標楷體" w:hAnsi="標楷體" w:hint="eastAsia"/>
          <w:u w:val="single"/>
        </w:rPr>
        <w:t>刑事責任：</w:t>
      </w:r>
      <w:r w:rsidRPr="00B97C6E">
        <w:rPr>
          <w:rFonts w:ascii="標楷體" w:eastAsia="標楷體" w:hAnsi="標楷體"/>
        </w:rPr>
        <w:br/>
      </w:r>
      <w:r w:rsidRPr="00B97C6E">
        <w:rPr>
          <w:rFonts w:ascii="標楷體" w:eastAsia="標楷體" w:hAnsi="標楷體" w:hint="eastAsia"/>
        </w:rPr>
        <w:t>情節重大足以影響市場秩序者，面臨三年以上至十年以下之相關刑責。</w:t>
      </w:r>
    </w:p>
    <w:p w:rsidR="00AB6D2D" w:rsidRPr="00B97C6E" w:rsidRDefault="00AB6D2D" w:rsidP="00AB6D2D">
      <w:pPr>
        <w:pStyle w:val="a3"/>
        <w:numPr>
          <w:ilvl w:val="0"/>
          <w:numId w:val="1"/>
        </w:numPr>
        <w:spacing w:after="180"/>
        <w:ind w:leftChars="0" w:left="284" w:hanging="284"/>
        <w:rPr>
          <w:rFonts w:ascii="標楷體" w:eastAsia="標楷體" w:hAnsi="標楷體"/>
        </w:rPr>
      </w:pPr>
      <w:r w:rsidRPr="00B97C6E">
        <w:rPr>
          <w:rFonts w:ascii="標楷體" w:eastAsia="標楷體" w:hAnsi="標楷體" w:hint="eastAsia"/>
          <w:u w:val="single"/>
        </w:rPr>
        <w:t>影響開戶交易：</w:t>
      </w:r>
      <w:r w:rsidRPr="00B97C6E">
        <w:rPr>
          <w:rFonts w:ascii="標楷體" w:eastAsia="標楷體" w:hAnsi="標楷體"/>
        </w:rPr>
        <w:br/>
      </w:r>
      <w:r w:rsidRPr="00B97C6E">
        <w:rPr>
          <w:rFonts w:ascii="標楷體" w:eastAsia="標楷體" w:hAnsi="標楷體" w:hint="eastAsia"/>
        </w:rPr>
        <w:t>未結案且未滿5年者，證券商應拒絕接受投資人申請開戶。已開戶者證券商亦應拒絕接受委託買賣或申購有價證券。</w:t>
      </w:r>
    </w:p>
    <w:p w:rsidR="00AB6D2D" w:rsidRPr="00B97C6E" w:rsidRDefault="00AB6D2D" w:rsidP="00AB6D2D">
      <w:pPr>
        <w:pStyle w:val="a3"/>
        <w:numPr>
          <w:ilvl w:val="0"/>
          <w:numId w:val="1"/>
        </w:numPr>
        <w:spacing w:after="180"/>
        <w:ind w:leftChars="0" w:left="284" w:hanging="284"/>
        <w:rPr>
          <w:rFonts w:ascii="標楷體" w:eastAsia="標楷體" w:hAnsi="標楷體"/>
        </w:rPr>
      </w:pPr>
      <w:r w:rsidRPr="00B97C6E">
        <w:rPr>
          <w:rFonts w:ascii="標楷體" w:eastAsia="標楷體" w:hAnsi="標楷體" w:hint="eastAsia"/>
          <w:u w:val="single"/>
        </w:rPr>
        <w:t>影響信用紀錄：</w:t>
      </w:r>
      <w:r w:rsidRPr="00B97C6E">
        <w:rPr>
          <w:rFonts w:ascii="標楷體" w:eastAsia="標楷體" w:hAnsi="標楷體"/>
        </w:rPr>
        <w:br/>
      </w:r>
      <w:r w:rsidRPr="00B97C6E">
        <w:rPr>
          <w:rFonts w:ascii="標楷體" w:eastAsia="標楷體" w:hAnsi="標楷體" w:hint="eastAsia"/>
        </w:rPr>
        <w:t>違約交割將留有紀錄，授信機構可透過金融聯合徵信中心取得相關資訊，個人信用將受到負面影響，未來要申請車</w:t>
      </w:r>
      <w:bookmarkStart w:id="0" w:name="_GoBack"/>
      <w:bookmarkEnd w:id="0"/>
      <w:r w:rsidRPr="00B97C6E">
        <w:rPr>
          <w:rFonts w:ascii="標楷體" w:eastAsia="標楷體" w:hAnsi="標楷體" w:hint="eastAsia"/>
        </w:rPr>
        <w:t>貸、房貸等貸款將變得困難。</w:t>
      </w:r>
    </w:p>
    <w:p w:rsidR="00AB6D2D" w:rsidRPr="00B97C6E" w:rsidRDefault="00AB6D2D">
      <w:pPr>
        <w:spacing w:after="180"/>
        <w:rPr>
          <w:rFonts w:ascii="標楷體" w:eastAsia="標楷體" w:hAnsi="標楷體"/>
        </w:rPr>
      </w:pPr>
    </w:p>
    <w:sectPr w:rsidR="00AB6D2D" w:rsidRPr="00B97C6E" w:rsidSect="00AB6D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211A" w:rsidRDefault="00C1211A" w:rsidP="007F5E07">
      <w:pPr>
        <w:spacing w:after="120" w:line="240" w:lineRule="auto"/>
      </w:pPr>
      <w:r>
        <w:separator/>
      </w:r>
    </w:p>
  </w:endnote>
  <w:endnote w:type="continuationSeparator" w:id="0">
    <w:p w:rsidR="00C1211A" w:rsidRDefault="00C1211A" w:rsidP="007F5E07">
      <w:pPr>
        <w:spacing w:after="12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E07" w:rsidRDefault="007F5E07">
    <w:pPr>
      <w:pStyle w:val="a6"/>
      <w:spacing w:after="12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E07" w:rsidRDefault="007F5E07">
    <w:pPr>
      <w:pStyle w:val="a6"/>
      <w:spacing w:after="12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E07" w:rsidRDefault="007F5E07">
    <w:pPr>
      <w:pStyle w:val="a6"/>
      <w:spacing w:after="1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211A" w:rsidRDefault="00C1211A" w:rsidP="007F5E07">
      <w:pPr>
        <w:spacing w:after="120" w:line="240" w:lineRule="auto"/>
      </w:pPr>
      <w:r>
        <w:separator/>
      </w:r>
    </w:p>
  </w:footnote>
  <w:footnote w:type="continuationSeparator" w:id="0">
    <w:p w:rsidR="00C1211A" w:rsidRDefault="00C1211A" w:rsidP="007F5E07">
      <w:pPr>
        <w:spacing w:after="12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E07" w:rsidRDefault="007F5E07">
    <w:pPr>
      <w:pStyle w:val="a4"/>
      <w:spacing w:after="12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E07" w:rsidRDefault="007F5E07" w:rsidP="007F5E07">
    <w:pPr>
      <w:pStyle w:val="a4"/>
      <w:spacing w:afterLines="0" w:after="0" w:line="24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E07" w:rsidRDefault="007F5E07">
    <w:pPr>
      <w:pStyle w:val="a4"/>
      <w:spacing w:after="1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37FC4"/>
    <w:multiLevelType w:val="hybridMultilevel"/>
    <w:tmpl w:val="8EE4363E"/>
    <w:lvl w:ilvl="0" w:tplc="0409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50" w:hanging="47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D2D"/>
    <w:rsid w:val="006C6069"/>
    <w:rsid w:val="007F5E07"/>
    <w:rsid w:val="00AB6D2D"/>
    <w:rsid w:val="00B97C6E"/>
    <w:rsid w:val="00C1211A"/>
    <w:rsid w:val="00C43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AF0623B-2068-411A-B759-5273425C7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afterLines="50" w:after="50" w:line="400" w:lineRule="exac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6D2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F5E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F5E0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F5E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F5E0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77</Words>
  <Characters>441</Characters>
  <Application>Microsoft Office Word</Application>
  <DocSecurity>0</DocSecurity>
  <Lines>3</Lines>
  <Paragraphs>1</Paragraphs>
  <ScaleCrop>false</ScaleCrop>
  <Company>TWSE 臺灣證券交易所</Company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邱豊順</dc:creator>
  <cp:keywords/>
  <dc:description/>
  <cp:lastModifiedBy>王崇叡</cp:lastModifiedBy>
  <cp:revision>3</cp:revision>
  <dcterms:created xsi:type="dcterms:W3CDTF">2021-12-20T08:44:00Z</dcterms:created>
  <dcterms:modified xsi:type="dcterms:W3CDTF">2022-01-04T08:17:00Z</dcterms:modified>
</cp:coreProperties>
</file>